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54" w:rsidRDefault="003F0754">
      <w:pPr>
        <w:rPr>
          <w:rFonts w:eastAsia="Times New Roman"/>
        </w:rPr>
      </w:pPr>
      <w:bookmarkStart w:id="0" w:name="_GoBack"/>
      <w:bookmarkEnd w:id="0"/>
    </w:p>
    <w:p w:rsidR="003F0754" w:rsidRDefault="003F0754">
      <w:pPr>
        <w:rPr>
          <w:rFonts w:eastAsia="Times New Roman"/>
        </w:rPr>
      </w:pPr>
    </w:p>
    <w:p w:rsidR="003F0754" w:rsidRDefault="003F0754">
      <w:pPr>
        <w:rPr>
          <w:rFonts w:eastAsia="Times New Roman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3F0754">
        <w:tc>
          <w:tcPr>
            <w:tcW w:w="3934" w:type="dxa"/>
            <w:hideMark/>
          </w:tcPr>
          <w:p w:rsidR="003F0754" w:rsidRDefault="00E02752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3F0754" w:rsidRDefault="00E0275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приказом Управления образования администрации городского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ЗАТО город Фокино</w:t>
            </w:r>
          </w:p>
          <w:p w:rsidR="003F0754" w:rsidRDefault="008E384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E3841">
              <w:rPr>
                <w:rFonts w:eastAsia="Times New Roman"/>
                <w:sz w:val="28"/>
                <w:szCs w:val="28"/>
              </w:rPr>
              <w:t xml:space="preserve">от </w:t>
            </w:r>
            <w:r w:rsidR="005C5A65">
              <w:rPr>
                <w:rFonts w:eastAsia="Times New Roman"/>
                <w:sz w:val="28"/>
                <w:szCs w:val="28"/>
                <w:u w:val="single"/>
              </w:rPr>
              <w:t>22</w:t>
            </w:r>
            <w:r w:rsidR="00AA1C9F" w:rsidRPr="008E3841">
              <w:rPr>
                <w:rFonts w:eastAsia="Times New Roman"/>
                <w:sz w:val="28"/>
                <w:szCs w:val="28"/>
                <w:u w:val="single"/>
              </w:rPr>
              <w:t>.01</w:t>
            </w:r>
            <w:r w:rsidR="00AA1C9F" w:rsidRPr="008C4EF6">
              <w:rPr>
                <w:rFonts w:eastAsia="Times New Roman"/>
                <w:sz w:val="28"/>
                <w:szCs w:val="28"/>
                <w:u w:val="single"/>
              </w:rPr>
              <w:t>.2019</w:t>
            </w:r>
            <w:r w:rsidR="00E02752" w:rsidRPr="008C4EF6">
              <w:rPr>
                <w:rFonts w:eastAsia="Times New Roman"/>
                <w:sz w:val="28"/>
                <w:szCs w:val="28"/>
                <w:u w:val="single"/>
              </w:rPr>
              <w:t xml:space="preserve">    </w:t>
            </w:r>
            <w:r w:rsidR="00E02752" w:rsidRPr="008C4EF6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5C5A65" w:rsidRPr="005C5A65">
              <w:rPr>
                <w:rFonts w:eastAsia="Times New Roman"/>
                <w:sz w:val="28"/>
                <w:szCs w:val="28"/>
              </w:rPr>
              <w:t>06</w:t>
            </w:r>
            <w:r w:rsidR="00E02752" w:rsidRPr="005C5A65">
              <w:rPr>
                <w:rFonts w:eastAsia="Times New Roman"/>
                <w:sz w:val="28"/>
                <w:szCs w:val="28"/>
                <w:u w:val="single"/>
              </w:rPr>
              <w:t>-</w:t>
            </w:r>
            <w:r w:rsidRPr="005C5A65">
              <w:rPr>
                <w:rFonts w:eastAsia="Times New Roman"/>
                <w:sz w:val="28"/>
                <w:szCs w:val="28"/>
                <w:u w:val="single"/>
              </w:rPr>
              <w:t xml:space="preserve">од    </w:t>
            </w:r>
          </w:p>
        </w:tc>
      </w:tr>
    </w:tbl>
    <w:p w:rsidR="003F0754" w:rsidRDefault="003F0754">
      <w:pPr>
        <w:ind w:left="5387"/>
        <w:jc w:val="center"/>
        <w:rPr>
          <w:rFonts w:eastAsia="Times New Roman"/>
          <w:sz w:val="28"/>
          <w:szCs w:val="28"/>
        </w:rPr>
      </w:pPr>
    </w:p>
    <w:p w:rsidR="003F0754" w:rsidRDefault="003F0754">
      <w:pPr>
        <w:ind w:left="5387"/>
        <w:jc w:val="center"/>
        <w:rPr>
          <w:rFonts w:eastAsia="Times New Roman"/>
          <w:sz w:val="28"/>
          <w:szCs w:val="28"/>
        </w:rPr>
      </w:pPr>
    </w:p>
    <w:p w:rsidR="00AA1C9F" w:rsidRDefault="00AA1C9F" w:rsidP="00AA1C9F">
      <w:pPr>
        <w:pStyle w:val="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  <w:r>
        <w:rPr>
          <w:rFonts w:eastAsia="Times New Roman"/>
          <w:sz w:val="28"/>
          <w:szCs w:val="28"/>
        </w:rPr>
        <w:br/>
        <w:t xml:space="preserve">о территориальной психолого-медико-педагогической комиссии городского </w:t>
      </w:r>
      <w:proofErr w:type="gramStart"/>
      <w:r>
        <w:rPr>
          <w:rFonts w:eastAsia="Times New Roman"/>
          <w:sz w:val="28"/>
          <w:szCs w:val="28"/>
        </w:rPr>
        <w:t>округа</w:t>
      </w:r>
      <w:proofErr w:type="gramEnd"/>
      <w:r>
        <w:rPr>
          <w:rFonts w:eastAsia="Times New Roman"/>
          <w:sz w:val="28"/>
          <w:szCs w:val="28"/>
        </w:rPr>
        <w:t xml:space="preserve"> ЗАТО город Фокино</w:t>
      </w:r>
    </w:p>
    <w:p w:rsidR="003F0754" w:rsidRDefault="003F0754">
      <w:pPr>
        <w:jc w:val="center"/>
        <w:rPr>
          <w:rFonts w:eastAsia="Times New Roman"/>
          <w:b/>
          <w:sz w:val="28"/>
          <w:szCs w:val="28"/>
        </w:rPr>
      </w:pPr>
    </w:p>
    <w:p w:rsidR="00AA1C9F" w:rsidRDefault="00AA1C9F" w:rsidP="008C4E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работе территориальная ПМПК руководствуется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правах ребенка,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№ 3185-1 «О психиатрической помощи и гарантиях прав граждан при ее оказании»,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 июня 2012 года № 761 «О национальной стратегии действий в интересах детей на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2017 годы»,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комиссии», приказом 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 приказом департамента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Приморского края от 6 августа 2009 года № 984-а «О создании ресурсного центра дистанционного образования детей-инвалидов </w:t>
      </w:r>
      <w:r w:rsidR="008C4EF6">
        <w:rPr>
          <w:rFonts w:ascii="Times New Roman" w:hAnsi="Times New Roman" w:cs="Times New Roman"/>
          <w:sz w:val="28"/>
          <w:szCs w:val="28"/>
        </w:rPr>
        <w:t>на территории Приморского края»,</w:t>
      </w:r>
      <w:r w:rsidR="008C4EF6" w:rsidRPr="008C4EF6">
        <w:t xml:space="preserve"> </w:t>
      </w:r>
      <w:r w:rsidR="008C4EF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8C4EF6" w:rsidRPr="008C4EF6">
        <w:rPr>
          <w:rFonts w:ascii="Times New Roman" w:hAnsi="Times New Roman" w:cs="Times New Roman"/>
          <w:sz w:val="28"/>
          <w:szCs w:val="28"/>
        </w:rPr>
        <w:t xml:space="preserve"> работы центральной психолого-медико-педагогической комисс</w:t>
      </w:r>
      <w:r w:rsidR="008C4EF6">
        <w:rPr>
          <w:rFonts w:ascii="Times New Roman" w:hAnsi="Times New Roman" w:cs="Times New Roman"/>
          <w:sz w:val="28"/>
          <w:szCs w:val="28"/>
        </w:rPr>
        <w:t xml:space="preserve">ии  Приморского края </w:t>
      </w:r>
      <w:r w:rsidR="008C4EF6" w:rsidRPr="008C4EF6">
        <w:rPr>
          <w:rFonts w:ascii="Times New Roman" w:hAnsi="Times New Roman" w:cs="Times New Roman"/>
          <w:sz w:val="28"/>
          <w:szCs w:val="28"/>
        </w:rPr>
        <w:t>от 20.04.2017 № 634-а</w:t>
      </w:r>
    </w:p>
    <w:p w:rsidR="003F0754" w:rsidRDefault="003F0754">
      <w:pPr>
        <w:pStyle w:val="3"/>
        <w:jc w:val="center"/>
        <w:rPr>
          <w:rFonts w:eastAsia="Times New Roman"/>
          <w:sz w:val="28"/>
          <w:szCs w:val="28"/>
        </w:rPr>
      </w:pPr>
    </w:p>
    <w:p w:rsidR="003F0754" w:rsidRDefault="003F0754">
      <w:pPr>
        <w:pStyle w:val="3"/>
        <w:jc w:val="center"/>
        <w:rPr>
          <w:rFonts w:eastAsia="Times New Roman"/>
          <w:sz w:val="28"/>
          <w:szCs w:val="28"/>
        </w:rPr>
      </w:pPr>
    </w:p>
    <w:p w:rsidR="00AA1C9F" w:rsidRDefault="00AA1C9F">
      <w:pPr>
        <w:pStyle w:val="align-center"/>
        <w:spacing w:line="360" w:lineRule="auto"/>
        <w:jc w:val="both"/>
        <w:rPr>
          <w:b/>
          <w:bCs/>
          <w:sz w:val="28"/>
          <w:szCs w:val="28"/>
        </w:rPr>
      </w:pPr>
    </w:p>
    <w:p w:rsidR="003F0754" w:rsidRDefault="00E02752">
      <w:pPr>
        <w:pStyle w:val="align-center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51282" w:rsidRPr="00951282" w:rsidRDefault="00E02752" w:rsidP="0095128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1282" w:rsidRPr="00951282">
        <w:rPr>
          <w:rFonts w:eastAsia="Times New Roman"/>
          <w:sz w:val="28"/>
          <w:szCs w:val="28"/>
        </w:rPr>
        <w:t xml:space="preserve">Настоящее Положение регламентирует деятельность ПМПК, включая порядок проведения комиссией комплексного психолого-медико-педагогического обследования детей, служит правовой, организационно-методической основой в организации </w:t>
      </w:r>
      <w:proofErr w:type="spellStart"/>
      <w:r w:rsidR="00951282" w:rsidRPr="00951282">
        <w:rPr>
          <w:rFonts w:eastAsia="Times New Roman"/>
          <w:sz w:val="28"/>
          <w:szCs w:val="28"/>
        </w:rPr>
        <w:t>диагностико</w:t>
      </w:r>
      <w:proofErr w:type="spellEnd"/>
      <w:r w:rsidR="00951282" w:rsidRPr="00951282">
        <w:rPr>
          <w:rFonts w:eastAsia="Times New Roman"/>
          <w:sz w:val="28"/>
          <w:szCs w:val="28"/>
        </w:rPr>
        <w:t>-коррекционной деятельности в отношении детей и подростков с огранич</w:t>
      </w:r>
      <w:r w:rsidR="00951282">
        <w:rPr>
          <w:rFonts w:eastAsia="Times New Roman"/>
          <w:sz w:val="28"/>
          <w:szCs w:val="28"/>
        </w:rPr>
        <w:t xml:space="preserve">енными возможностями здоровья. 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1.2.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 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международными актами в области защиты прав ребенка, федеральными законами и иными нормативными правовыми актами Российской Федерации, законами и иными нормативными правовыми актами Приморского края, правовыми актами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Фокино, а также Положением о психолого-медико-педагогической комиссии, утвержденным Приказом Министерства образования и науки Российской Федерации от 20.09.2013 № 1082, и Положением.</w:t>
      </w:r>
    </w:p>
    <w:p w:rsidR="003C68DB" w:rsidRPr="003C68DB" w:rsidRDefault="003C68DB" w:rsidP="003C68D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Pr="003C68DB">
        <w:rPr>
          <w:rFonts w:eastAsia="Times New Roman"/>
          <w:sz w:val="28"/>
          <w:szCs w:val="28"/>
        </w:rPr>
        <w:t>Работа ПМПК строится на принципах объективности, качественного анализа, системности и комплексного подхода в решении проблем несовершеннолетних с ограниченными возможностями здоровья.</w:t>
      </w:r>
    </w:p>
    <w:p w:rsidR="003C68DB" w:rsidRPr="003C68DB" w:rsidRDefault="003C68DB" w:rsidP="003C68D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Pr="003C68DB">
        <w:rPr>
          <w:rFonts w:eastAsia="Times New Roman"/>
          <w:sz w:val="28"/>
          <w:szCs w:val="28"/>
        </w:rPr>
        <w:t>. Деятельность ПМПК обеспечивается на базе Федерального государственного Бюджетного учреждения здравоохранения «Медико-</w:t>
      </w:r>
      <w:r w:rsidRPr="003C68DB">
        <w:rPr>
          <w:rFonts w:eastAsia="Times New Roman"/>
          <w:sz w:val="28"/>
          <w:szCs w:val="28"/>
        </w:rPr>
        <w:lastRenderedPageBreak/>
        <w:t>санитарная часть №100 Федерального медико-биологического агентства России» (692880, г.</w:t>
      </w:r>
      <w:r w:rsidR="00334AA6">
        <w:rPr>
          <w:rFonts w:eastAsia="Times New Roman"/>
          <w:sz w:val="28"/>
          <w:szCs w:val="28"/>
        </w:rPr>
        <w:t xml:space="preserve"> </w:t>
      </w:r>
      <w:r w:rsidRPr="003C68DB">
        <w:rPr>
          <w:rFonts w:eastAsia="Times New Roman"/>
          <w:sz w:val="28"/>
          <w:szCs w:val="28"/>
        </w:rPr>
        <w:t>Фокино, ул. Клубная, 17, т. (42339) 28185)</w:t>
      </w:r>
    </w:p>
    <w:p w:rsidR="003F0754" w:rsidRDefault="003C68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02752">
        <w:rPr>
          <w:sz w:val="28"/>
          <w:szCs w:val="28"/>
        </w:rPr>
        <w:t xml:space="preserve">. Комиссия действует на постоянной основе. Количество заседаний комиссии определяется поступлением заявлений от проживающих на территории городского </w:t>
      </w:r>
      <w:proofErr w:type="gramStart"/>
      <w:r w:rsidR="00E02752">
        <w:rPr>
          <w:sz w:val="28"/>
          <w:szCs w:val="28"/>
        </w:rPr>
        <w:t>округа</w:t>
      </w:r>
      <w:proofErr w:type="gramEnd"/>
      <w:r w:rsidR="00E02752">
        <w:rPr>
          <w:sz w:val="28"/>
          <w:szCs w:val="28"/>
        </w:rPr>
        <w:t xml:space="preserve"> ЗАТО город родителей (законных представителей). </w:t>
      </w:r>
    </w:p>
    <w:p w:rsidR="003F0754" w:rsidRDefault="003C68DB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1.7</w:t>
      </w:r>
      <w:r w:rsidR="00E02752">
        <w:rPr>
          <w:sz w:val="28"/>
          <w:szCs w:val="28"/>
        </w:rPr>
        <w:t>. Комиссию возглавляет руководитель (председатель).</w:t>
      </w:r>
      <w:r w:rsidR="00E02752">
        <w:t xml:space="preserve"> </w:t>
      </w:r>
      <w:proofErr w:type="gramStart"/>
      <w:r w:rsidR="00E02752">
        <w:rPr>
          <w:sz w:val="28"/>
          <w:szCs w:val="28"/>
        </w:rPr>
        <w:t>В состав комиссии входят</w:t>
      </w:r>
      <w:r>
        <w:rPr>
          <w:sz w:val="28"/>
          <w:szCs w:val="28"/>
        </w:rPr>
        <w:t xml:space="preserve"> </w:t>
      </w:r>
      <w:r w:rsidR="00E02752">
        <w:rPr>
          <w:sz w:val="28"/>
          <w:szCs w:val="28"/>
        </w:rPr>
        <w:t xml:space="preserve"> руководитель (председатель) комиссии, </w:t>
      </w:r>
      <w:r w:rsidR="00334AA6" w:rsidRPr="00334AA6">
        <w:rPr>
          <w:sz w:val="28"/>
          <w:szCs w:val="28"/>
        </w:rPr>
        <w:t>заместитель руководителя комиссии</w:t>
      </w:r>
      <w:r w:rsidR="00334AA6">
        <w:rPr>
          <w:sz w:val="28"/>
          <w:szCs w:val="28"/>
        </w:rPr>
        <w:t>,</w:t>
      </w:r>
      <w:r w:rsidR="00334AA6" w:rsidRPr="00334AA6">
        <w:rPr>
          <w:sz w:val="28"/>
          <w:szCs w:val="28"/>
        </w:rPr>
        <w:t xml:space="preserve"> </w:t>
      </w:r>
      <w:r w:rsidR="00E02752">
        <w:rPr>
          <w:sz w:val="28"/>
          <w:szCs w:val="28"/>
        </w:rPr>
        <w:t>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 w:rsidR="00E02752">
        <w:rPr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3F0754" w:rsidRDefault="003C68DB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1.8</w:t>
      </w:r>
      <w:r w:rsidR="00E02752">
        <w:rPr>
          <w:sz w:val="28"/>
          <w:szCs w:val="28"/>
        </w:rPr>
        <w:t>. Непосредственное руководство деятельностью комиссии осуществляет руководитель (председатель), который несет ответственность за качество и своевременность выполнения возложенных на комиссию задач и функций.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Руководитель (председатель) комиссии, а в его отсутствие - заместитель руководителя комиссии имеют право подписи.</w:t>
      </w:r>
    </w:p>
    <w:p w:rsidR="003F0754" w:rsidRDefault="003C68DB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1.9</w:t>
      </w:r>
      <w:r w:rsidR="00E02752">
        <w:rPr>
          <w:sz w:val="28"/>
          <w:szCs w:val="28"/>
        </w:rPr>
        <w:t>. Управление, муниципальные образовательные организации,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3F0754" w:rsidRDefault="003C68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02752">
        <w:rPr>
          <w:sz w:val="28"/>
          <w:szCs w:val="28"/>
        </w:rPr>
        <w:t>. Обследование детей на комиссии, консультирование детей и их родителей (законных представителей) специалистами комиссии осуществляются бесплатно.</w:t>
      </w:r>
    </w:p>
    <w:p w:rsidR="00A0075D" w:rsidRPr="00A948BD" w:rsidRDefault="00A0075D" w:rsidP="00A007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Информация о работе территориальной ПМПК </w:t>
      </w:r>
      <w:r w:rsidRPr="00334AA6">
        <w:rPr>
          <w:rFonts w:ascii="Times New Roman" w:hAnsi="Times New Roman" w:cs="Times New Roman"/>
          <w:sz w:val="28"/>
          <w:szCs w:val="28"/>
        </w:rPr>
        <w:t>публикуется</w:t>
      </w:r>
      <w:r w:rsidRPr="00A00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AA6">
        <w:rPr>
          <w:rFonts w:ascii="Times New Roman" w:hAnsi="Times New Roman" w:cs="Times New Roman"/>
          <w:sz w:val="28"/>
          <w:szCs w:val="28"/>
        </w:rPr>
        <w:t>на</w:t>
      </w:r>
      <w:r w:rsidRPr="00A00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8BD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администрации городского </w:t>
      </w:r>
      <w:proofErr w:type="gramStart"/>
      <w:r w:rsidRPr="00A948B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948BD">
        <w:rPr>
          <w:rFonts w:ascii="Times New Roman" w:hAnsi="Times New Roman" w:cs="Times New Roman"/>
          <w:sz w:val="28"/>
          <w:szCs w:val="28"/>
        </w:rPr>
        <w:t xml:space="preserve"> ЗАТО город Фокино</w:t>
      </w:r>
      <w:r w:rsidR="00A948B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A948BD" w:rsidRPr="00D166E5">
          <w:rPr>
            <w:rStyle w:val="a3"/>
            <w:rFonts w:ascii="Times New Roman" w:hAnsi="Times New Roman" w:cs="Times New Roman"/>
            <w:sz w:val="28"/>
            <w:szCs w:val="28"/>
          </w:rPr>
          <w:t>edu-fok@mail.ru</w:t>
        </w:r>
      </w:hyperlink>
      <w:r w:rsidR="00A948BD">
        <w:rPr>
          <w:rFonts w:ascii="Times New Roman" w:hAnsi="Times New Roman" w:cs="Times New Roman"/>
          <w:sz w:val="28"/>
          <w:szCs w:val="28"/>
        </w:rPr>
        <w:t>)</w:t>
      </w:r>
      <w:r w:rsidRPr="00A948BD">
        <w:rPr>
          <w:rFonts w:ascii="Times New Roman" w:hAnsi="Times New Roman" w:cs="Times New Roman"/>
          <w:sz w:val="28"/>
          <w:szCs w:val="28"/>
        </w:rPr>
        <w:t>.</w:t>
      </w:r>
    </w:p>
    <w:p w:rsidR="00A0075D" w:rsidRPr="00A0075D" w:rsidRDefault="00A0075D" w:rsidP="00A007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является составной частью системы образования Приморского края, организационной структурой, взаимодействующей с психолого-медико-педагогическими консилиумами </w:t>
      </w:r>
      <w:r>
        <w:rPr>
          <w:rFonts w:ascii="Times New Roman" w:hAnsi="Times New Roman" w:cs="Times New Roman"/>
          <w:sz w:val="28"/>
          <w:szCs w:val="28"/>
        </w:rPr>
        <w:lastRenderedPageBreak/>
        <w:t>краевых государственных образовательных организаций.</w:t>
      </w:r>
    </w:p>
    <w:p w:rsidR="00951282" w:rsidRDefault="00951282">
      <w:pPr>
        <w:pStyle w:val="align-center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51282" w:rsidRDefault="00951282">
      <w:pPr>
        <w:pStyle w:val="align-center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F0754" w:rsidRDefault="00E02752">
      <w:pPr>
        <w:pStyle w:val="align-center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принципы деятельности комиссии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В своей деятельности комиссия руководствуется принципами: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добровольности: родители (законные представители) самостоятельно принимают решение об обращении в комиссию, об участии в освидетельствовании ребенка в рамках обследования;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конфиденциальности: информация о результатах обследования ребенка, а также иная информация, связанная с обследованием детей на комиссии, не подлежит разглашению или передаче третьим лицам без письменного согласия родителей (законных представителей), за исключением случаев, предусмотренных законодательством Российской Федерации;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профессиональной ответственности: члены комиссии ответственны за принятые решения и рекомендации, которые затрагивают интересы ребенка.</w:t>
      </w:r>
    </w:p>
    <w:p w:rsidR="003F0754" w:rsidRDefault="00E02752">
      <w:pPr>
        <w:pStyle w:val="align-center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направления деятельности и права комиссии</w:t>
      </w:r>
    </w:p>
    <w:p w:rsidR="003F0754" w:rsidRDefault="00E02752" w:rsidP="008C4EF6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 Основными направлениями деятельности комиссии являются: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lastRenderedPageBreak/>
        <w:t>-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334AA6" w:rsidRPr="00334AA6" w:rsidRDefault="00334AA6" w:rsidP="00334AA6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334AA6">
        <w:rPr>
          <w:rFonts w:eastAsia="Times New Roman"/>
          <w:b/>
          <w:sz w:val="28"/>
          <w:szCs w:val="28"/>
        </w:rPr>
        <w:t>. Состав ПМПК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Руководство работой ПМПК осуществляют председатель и заместитель председателя комиссии.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Председатель комиссии осуществляет общее руководство работой ПМПК, определяет график ее работы, ведет заседания ПМПК, утверждает рабочую документацию.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 xml:space="preserve">Заместитель председателя ПМПК координирует работу членов ПМПК, осуществляет </w:t>
      </w:r>
      <w:proofErr w:type="gramStart"/>
      <w:r w:rsidRPr="00334AA6">
        <w:rPr>
          <w:rFonts w:eastAsia="Times New Roman"/>
          <w:sz w:val="28"/>
          <w:szCs w:val="28"/>
        </w:rPr>
        <w:t>контроль за</w:t>
      </w:r>
      <w:proofErr w:type="gramEnd"/>
      <w:r w:rsidRPr="00334AA6">
        <w:rPr>
          <w:rFonts w:eastAsia="Times New Roman"/>
          <w:sz w:val="28"/>
          <w:szCs w:val="28"/>
        </w:rPr>
        <w:t xml:space="preserve"> выполнением графика работы ПМПК. В отсутствие председателя ПМПК выполняет его обязанности. 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Председатель, его заместитель, члены комиссии несут ответственность за соответствие деятельности ПМПК требованиям законодательства и иным нормативно-правовым актам.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Секретарь комиссии организует делопроизводство ПМПК и несет ответственность за его ведение и сохранность документов.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334AA6">
        <w:rPr>
          <w:rFonts w:eastAsia="Times New Roman"/>
          <w:sz w:val="28"/>
          <w:szCs w:val="28"/>
        </w:rPr>
        <w:t xml:space="preserve">В состав ПМПК входят: педагог-психолог, учителя-дефектологи   учитель-логопед, педиатр, невролог,  </w:t>
      </w:r>
      <w:proofErr w:type="spellStart"/>
      <w:r w:rsidRPr="00334AA6">
        <w:rPr>
          <w:rFonts w:eastAsia="Times New Roman"/>
          <w:sz w:val="28"/>
          <w:szCs w:val="28"/>
        </w:rPr>
        <w:t>оториноларинголог</w:t>
      </w:r>
      <w:proofErr w:type="spellEnd"/>
      <w:r w:rsidRPr="00334AA6">
        <w:rPr>
          <w:rFonts w:eastAsia="Times New Roman"/>
          <w:sz w:val="28"/>
          <w:szCs w:val="28"/>
        </w:rPr>
        <w:t>, ортопед, психиатр детский, социальный педагог.</w:t>
      </w:r>
      <w:proofErr w:type="gramEnd"/>
      <w:r w:rsidRPr="00334AA6">
        <w:rPr>
          <w:rFonts w:eastAsia="Times New Roman"/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 xml:space="preserve">Включение врачей в состав комиссии осуществляется по согласованию с  </w:t>
      </w:r>
      <w:r w:rsidRPr="00334AA6">
        <w:rPr>
          <w:rFonts w:ascii="3" w:eastAsia="Times New Roman" w:hAnsi="3"/>
          <w:sz w:val="28"/>
          <w:szCs w:val="28"/>
        </w:rPr>
        <w:t xml:space="preserve">ФГБУЗ МСЧ №100 ФМБА России  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lastRenderedPageBreak/>
        <w:t xml:space="preserve">Персональный состав и порядок работы ПМПК утверждается приказом Управления образования администрации городского </w:t>
      </w:r>
      <w:proofErr w:type="gramStart"/>
      <w:r w:rsidRPr="00334AA6">
        <w:rPr>
          <w:rFonts w:eastAsia="Times New Roman"/>
          <w:sz w:val="28"/>
          <w:szCs w:val="28"/>
        </w:rPr>
        <w:t>округа</w:t>
      </w:r>
      <w:proofErr w:type="gramEnd"/>
      <w:r w:rsidRPr="00334AA6">
        <w:rPr>
          <w:rFonts w:eastAsia="Times New Roman"/>
          <w:sz w:val="28"/>
          <w:szCs w:val="28"/>
        </w:rPr>
        <w:t xml:space="preserve"> ЗАТО город Фокино.</w:t>
      </w:r>
    </w:p>
    <w:p w:rsidR="00B469FD" w:rsidRDefault="00B469FD">
      <w:pPr>
        <w:pStyle w:val="align-center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F0754" w:rsidRDefault="00334AA6">
      <w:pPr>
        <w:pStyle w:val="align-center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02752">
        <w:rPr>
          <w:b/>
          <w:bCs/>
          <w:sz w:val="28"/>
          <w:szCs w:val="28"/>
        </w:rPr>
        <w:t>. Организация и осуществление деятельности комиссии</w:t>
      </w:r>
    </w:p>
    <w:p w:rsidR="003F0754" w:rsidRDefault="00334AA6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</w:t>
      </w:r>
      <w:r w:rsidR="00E02752">
        <w:rPr>
          <w:sz w:val="28"/>
          <w:szCs w:val="28"/>
        </w:rPr>
        <w:t xml:space="preserve">.1. </w:t>
      </w:r>
      <w:proofErr w:type="gramStart"/>
      <w:r w:rsidR="00E02752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комиссией по письменному заявлению</w:t>
      </w:r>
      <w:r w:rsidR="00347B24">
        <w:rPr>
          <w:sz w:val="28"/>
          <w:szCs w:val="28"/>
        </w:rPr>
        <w:t>, согласию</w:t>
      </w:r>
      <w:r w:rsidR="00E02752">
        <w:rPr>
          <w:sz w:val="28"/>
          <w:szCs w:val="28"/>
        </w:rPr>
        <w:t xml:space="preserve">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3F0754" w:rsidRDefault="00334AA6" w:rsidP="00334AA6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5.2. </w:t>
      </w:r>
      <w:r w:rsidR="00E02752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F0754" w:rsidRDefault="00334AA6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5.3</w:t>
      </w:r>
      <w:r w:rsidR="00E02752">
        <w:rPr>
          <w:sz w:val="28"/>
          <w:szCs w:val="28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заявление о проведении или согласие на проведение обследования ребенка на комиссии;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копию паспорта или свидетельства о рождении ребенка (предоставляется с предъявлением оригинала или заверенной в установленном порядке копии);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</w:t>
      </w:r>
      <w:r>
        <w:rPr>
          <w:sz w:val="28"/>
          <w:szCs w:val="28"/>
        </w:rPr>
        <w:lastRenderedPageBreak/>
        <w:t>обучающихся в образовательной организации (для обучающихся образовательных организаций) (при наличии);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заключение (заключения) комиссии о результатах ранее проведенного обследования ребенка (при наличии);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характеристику обучающегося, выданную образовательной организацией (для обучающихся образовательных организаций), с указанием образовательной программы (основной общеобразовательной или адаптированной основной общеобразовательной программы), четвертных, полугодовых, триместровых отметок по всем учебным предметам за текущий учебный год;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копию индивидуальной программы реабилитации ребенка-инвалида, выдаваемой федеральными государственными учреждениями медико-социальной экспертизы (при наличии);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ребенка.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3F0754" w:rsidRDefault="00334AA6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5.4</w:t>
      </w:r>
      <w:r w:rsidR="00E02752">
        <w:rPr>
          <w:sz w:val="28"/>
          <w:szCs w:val="28"/>
        </w:rPr>
        <w:t>. Запись на проведение обследования ребенка на комиссии осуществляется при подаче документов.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3F0754" w:rsidRDefault="00334AA6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5.5</w:t>
      </w:r>
      <w:r w:rsidR="00E02752">
        <w:rPr>
          <w:sz w:val="28"/>
          <w:szCs w:val="28"/>
        </w:rPr>
        <w:t>. Комиссией ведется следующая документация: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журнал записи детей на обследование;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журнал учета детей, прошедших обследование;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карта ребенка, прошедшего обследование;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lastRenderedPageBreak/>
        <w:t>- протокол обследования ребенка.</w:t>
      </w:r>
    </w:p>
    <w:p w:rsidR="003F0754" w:rsidRDefault="00334AA6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5.6</w:t>
      </w:r>
      <w:r w:rsidR="00E02752">
        <w:rPr>
          <w:sz w:val="28"/>
          <w:szCs w:val="28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F0754" w:rsidRDefault="00B469FD" w:rsidP="00B469FD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5.7. </w:t>
      </w:r>
      <w:r w:rsidR="00E02752">
        <w:rPr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F0754" w:rsidRDefault="00B469FD" w:rsidP="00B469FD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5 .8. </w:t>
      </w:r>
      <w:r w:rsidR="00E02752"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3F0754" w:rsidRDefault="00B469FD" w:rsidP="00B469F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E02752">
        <w:rPr>
          <w:sz w:val="28"/>
          <w:szCs w:val="28"/>
        </w:rPr>
        <w:t xml:space="preserve">Комиссия в случае необходимости направляет ребенка для проведения обследования в краевую психолого-медико-педагогическую комиссию. </w:t>
      </w:r>
    </w:p>
    <w:p w:rsidR="003F0754" w:rsidRDefault="00B469FD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5.10</w:t>
      </w:r>
      <w:r w:rsidR="00E02752">
        <w:rPr>
          <w:sz w:val="28"/>
          <w:szCs w:val="28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3F0754" w:rsidRDefault="00B469FD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5.11</w:t>
      </w:r>
      <w:r w:rsidR="00E02752">
        <w:rPr>
          <w:sz w:val="28"/>
          <w:szCs w:val="28"/>
        </w:rPr>
        <w:t>. В заключении комиссии, заполненном на бланке, указываются: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lastRenderedPageBreak/>
        <w:t>Обсуждение результатов обследования и вынесение заключения комиссии производятся в отсутствие детей.</w:t>
      </w:r>
    </w:p>
    <w:p w:rsidR="003F0754" w:rsidRDefault="00B469FD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5.12</w:t>
      </w:r>
      <w:r w:rsidR="00E02752">
        <w:rPr>
          <w:sz w:val="28"/>
          <w:szCs w:val="28"/>
        </w:rPr>
        <w:t>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(председателем) комиссии (лицом, исполняющим его обязанности) и заверяются печатью комиссии.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3F0754" w:rsidRDefault="00E02752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3F0754" w:rsidRDefault="00D62F48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5.13</w:t>
      </w:r>
      <w:r w:rsidR="00E02752">
        <w:rPr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:rsidR="003F0754" w:rsidRDefault="00E02752" w:rsidP="00D62F48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Управлением,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условий для обучения и воспитания детей.</w:t>
      </w:r>
    </w:p>
    <w:p w:rsidR="003F0754" w:rsidRDefault="00E02752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8C4EF6" w:rsidRPr="008C4EF6" w:rsidRDefault="00D62F48" w:rsidP="008C4EF6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5.14</w:t>
      </w:r>
      <w:r w:rsidR="00E02752">
        <w:rPr>
          <w:sz w:val="28"/>
          <w:szCs w:val="28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помощи, в том числе предоставляет информацию об их правах.</w:t>
      </w:r>
    </w:p>
    <w:p w:rsidR="00334AA6" w:rsidRPr="00334AA6" w:rsidRDefault="00334AA6" w:rsidP="00334AA6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334AA6">
        <w:rPr>
          <w:rFonts w:eastAsia="Times New Roman"/>
          <w:b/>
          <w:sz w:val="28"/>
          <w:szCs w:val="28"/>
        </w:rPr>
        <w:t>. Права членов ПМПК:</w:t>
      </w:r>
    </w:p>
    <w:p w:rsidR="00334AA6" w:rsidRPr="00334AA6" w:rsidRDefault="008C4EF6" w:rsidP="008C4EF6">
      <w:pPr>
        <w:spacing w:line="360" w:lineRule="auto"/>
        <w:ind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34AA6" w:rsidRPr="00334AA6">
        <w:rPr>
          <w:rFonts w:eastAsia="Times New Roman"/>
          <w:sz w:val="28"/>
          <w:szCs w:val="28"/>
        </w:rPr>
        <w:t>.1. Комиссия имеет право: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lastRenderedPageBreak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самостоятельно осуществлять выбор диагностических и коррекционных методик для использования в работе комиссии;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защищать свою профессиональную честь и достоинство.</w:t>
      </w:r>
    </w:p>
    <w:p w:rsidR="00334AA6" w:rsidRPr="00334AA6" w:rsidRDefault="008C4EF6" w:rsidP="008C4EF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34AA6" w:rsidRPr="00334AA6">
        <w:rPr>
          <w:rFonts w:eastAsia="Times New Roman"/>
          <w:sz w:val="28"/>
          <w:szCs w:val="28"/>
        </w:rPr>
        <w:t>.2. Руководитель (председатель) комиссии имеет право: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получать от образовательных организаций, учреждения здравоохранения   материалы, необходимые для осуществления деятельности ПМПК;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осуществлять в установленном порядке деловые связи с предприятиями, организациями, учреждениями в целях реализации поставленных задач.</w:t>
      </w:r>
    </w:p>
    <w:p w:rsidR="00334AA6" w:rsidRPr="00334AA6" w:rsidRDefault="00334AA6" w:rsidP="008C4EF6">
      <w:pPr>
        <w:spacing w:line="360" w:lineRule="auto"/>
        <w:rPr>
          <w:rFonts w:eastAsia="Times New Roman"/>
          <w:sz w:val="28"/>
          <w:szCs w:val="28"/>
        </w:rPr>
      </w:pPr>
    </w:p>
    <w:p w:rsidR="00334AA6" w:rsidRPr="00334AA6" w:rsidRDefault="00334AA6" w:rsidP="00334AA6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Pr="00334AA6">
        <w:rPr>
          <w:rFonts w:eastAsia="Times New Roman"/>
          <w:b/>
          <w:sz w:val="28"/>
          <w:szCs w:val="28"/>
        </w:rPr>
        <w:t>. Обязанности членов ПМПК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Члены ПМПК обязаны: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руководствоваться в своей деятельности профессиональными, этическими принципами и нравственными нормами, подчиняя их интересам детей и их семей;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защищать в соответствии с действующим законодательством Российской Федерации права и интересы детей и их родителей, обратившихся в ПМПК;</w:t>
      </w:r>
    </w:p>
    <w:p w:rsidR="00334AA6" w:rsidRPr="00334AA6" w:rsidRDefault="00334AA6" w:rsidP="00334AA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представлять в соответствии с действующим законодательством Российской Федерации государственным и негосударственным организациям сведения, необходимые для оказания помощи детям, обследованным на ПМПК;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информировать родителей (законных представителей) детей об основных направлениях деятельности, месте нахождения, порядке и графике работы ПМПК.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334AA6" w:rsidRPr="00334AA6" w:rsidRDefault="00334AA6" w:rsidP="00334AA6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8</w:t>
      </w:r>
      <w:r w:rsidRPr="00334AA6">
        <w:rPr>
          <w:rFonts w:eastAsia="Times New Roman"/>
          <w:b/>
          <w:sz w:val="28"/>
          <w:szCs w:val="28"/>
        </w:rPr>
        <w:t>. Права родителей (законных представителей)</w:t>
      </w:r>
    </w:p>
    <w:p w:rsidR="00334AA6" w:rsidRPr="00334AA6" w:rsidRDefault="00334AA6" w:rsidP="00334AA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b/>
          <w:sz w:val="28"/>
          <w:szCs w:val="28"/>
        </w:rPr>
        <w:tab/>
      </w:r>
      <w:r w:rsidRPr="00334AA6">
        <w:rPr>
          <w:rFonts w:eastAsia="Times New Roman"/>
          <w:sz w:val="28"/>
          <w:szCs w:val="28"/>
        </w:rPr>
        <w:t>Родители (законные представители) имеют право: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присутствовать при обследовании детей на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получать консультации членов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получать необходимую информацию и разъяснения по интересующим их вопросам;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защищать законные права и интересы детей;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соблюдать установленные комиссией требования;</w:t>
      </w:r>
    </w:p>
    <w:p w:rsidR="00334AA6" w:rsidRPr="00334AA6" w:rsidRDefault="00334AA6" w:rsidP="00334AA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34AA6">
        <w:rPr>
          <w:rFonts w:eastAsia="Times New Roman"/>
          <w:sz w:val="28"/>
          <w:szCs w:val="28"/>
        </w:rPr>
        <w:t>в случае несо</w:t>
      </w:r>
      <w:r w:rsidR="00347B24">
        <w:rPr>
          <w:rFonts w:eastAsia="Times New Roman"/>
          <w:sz w:val="28"/>
          <w:szCs w:val="28"/>
        </w:rPr>
        <w:t xml:space="preserve">гласия с заключением территориальной </w:t>
      </w:r>
      <w:r w:rsidRPr="00334AA6">
        <w:rPr>
          <w:rFonts w:eastAsia="Times New Roman"/>
          <w:sz w:val="28"/>
          <w:szCs w:val="28"/>
        </w:rPr>
        <w:t xml:space="preserve"> комиссии обжаловать его в суде.</w:t>
      </w:r>
    </w:p>
    <w:p w:rsidR="003F0754" w:rsidRDefault="00334AA6">
      <w:pPr>
        <w:pStyle w:val="align-center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02752">
        <w:rPr>
          <w:b/>
          <w:bCs/>
          <w:sz w:val="28"/>
          <w:szCs w:val="28"/>
        </w:rPr>
        <w:t>. Отчетность комиссии</w:t>
      </w:r>
    </w:p>
    <w:p w:rsidR="003F0754" w:rsidRDefault="00E0275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(председатель) комиссии представляет ежегодный отчёт об осуществлении деятельности  в период с 1 января по 31 декабря года включительно, предшествующего году представления ежегодного отчёта.</w:t>
      </w:r>
    </w:p>
    <w:p w:rsidR="00E02752" w:rsidRDefault="00E02752">
      <w:pPr>
        <w:pStyle w:val="a5"/>
        <w:spacing w:line="360" w:lineRule="auto"/>
        <w:jc w:val="both"/>
        <w:rPr>
          <w:sz w:val="28"/>
          <w:szCs w:val="28"/>
        </w:rPr>
      </w:pPr>
    </w:p>
    <w:sectPr w:rsidR="00E02752" w:rsidSect="008E38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2AEB"/>
    <w:rsid w:val="0033057B"/>
    <w:rsid w:val="00334AA6"/>
    <w:rsid w:val="00347B24"/>
    <w:rsid w:val="003C68DB"/>
    <w:rsid w:val="003F0754"/>
    <w:rsid w:val="005C5A65"/>
    <w:rsid w:val="00602AEB"/>
    <w:rsid w:val="008C4EF6"/>
    <w:rsid w:val="008E3841"/>
    <w:rsid w:val="00951282"/>
    <w:rsid w:val="00A0075D"/>
    <w:rsid w:val="00A948BD"/>
    <w:rsid w:val="00AA1C9F"/>
    <w:rsid w:val="00B469FD"/>
    <w:rsid w:val="00D62F48"/>
    <w:rsid w:val="00E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sPlusNormal">
    <w:name w:val="ConsPlusNormal"/>
    <w:rsid w:val="00AA1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C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A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sPlusNormal">
    <w:name w:val="ConsPlusNormal"/>
    <w:rsid w:val="00AA1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C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A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59374EE5425E79D3A4FACD8C9DDF057EC7329A35C87A99CD57076D1P2e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59374EE5425E79D3A4FACD8C9DDF054EF732AA05D87A99CD57076D1P2e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59374EE5425E79D3A4FACD8C9DDF054EF722FA15387A99CD57076D1P2e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A59374EE5425E79D3A4FACD8C9DDF05FE67625A90CD0ABCD807EP7e3E" TargetMode="External"/><Relationship Id="rId10" Type="http://schemas.openxmlformats.org/officeDocument/2006/relationships/hyperlink" Target="mailto:edu-f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59374EE5425E79D3A4FACD8C9DDF057EA702AA75A87A99CD57076D1P2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User102</dc:creator>
  <cp:lastModifiedBy>User102</cp:lastModifiedBy>
  <cp:revision>14</cp:revision>
  <cp:lastPrinted>2019-01-22T07:10:00Z</cp:lastPrinted>
  <dcterms:created xsi:type="dcterms:W3CDTF">2019-01-21T01:24:00Z</dcterms:created>
  <dcterms:modified xsi:type="dcterms:W3CDTF">2019-01-22T07:17:00Z</dcterms:modified>
</cp:coreProperties>
</file>